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999" w:rsidRDefault="00617999" w:rsidP="00617999">
      <w:r w:rsidRPr="00617999">
        <w:t>Edward R. Muller</w:t>
      </w:r>
    </w:p>
    <w:p w:rsidR="00617999" w:rsidRDefault="00617999" w:rsidP="00617999">
      <w:r>
        <w:t>Former Chairma</w:t>
      </w:r>
      <w:r>
        <w:t xml:space="preserve">n and Chief Executive </w:t>
      </w:r>
      <w:proofErr w:type="spellStart"/>
      <w:r>
        <w:t>Officer</w:t>
      </w:r>
      <w:proofErr w:type="spellEnd"/>
    </w:p>
    <w:p w:rsidR="00617999" w:rsidRDefault="00617999" w:rsidP="00617999">
      <w:proofErr w:type="spellStart"/>
      <w:r>
        <w:t>GenOn</w:t>
      </w:r>
      <w:proofErr w:type="spellEnd"/>
      <w:r>
        <w:t xml:space="preserve"> Energy, Inc.</w:t>
      </w:r>
    </w:p>
    <w:p w:rsidR="00617999" w:rsidRDefault="00617999" w:rsidP="00617999">
      <w:bookmarkStart w:id="0" w:name="_GoBack"/>
      <w:bookmarkEnd w:id="0"/>
    </w:p>
    <w:p w:rsidR="00617999" w:rsidRDefault="00617999" w:rsidP="00617999">
      <w:r>
        <w:t xml:space="preserve">Age 61, U.S. citizen, has served as a director of the Company since 2007 and served as a director of GlobalSantaFe Corporation from 2001 to 2007 and of Global Marine, Inc. from 1997 to 2001. Mr. Muller has served as Vice Chairman of NRG Energy, Inc. (NYSE: NRG) since the merger of NRG Energy, Inc. with </w:t>
      </w:r>
      <w:proofErr w:type="spellStart"/>
      <w:r>
        <w:t>GenOn</w:t>
      </w:r>
      <w:proofErr w:type="spellEnd"/>
      <w:r>
        <w:t xml:space="preserve"> Energy, Inc. in 2012. Prior to the merger, Mr. Muller served as </w:t>
      </w:r>
      <w:proofErr w:type="spellStart"/>
      <w:r>
        <w:t>GenOn</w:t>
      </w:r>
      <w:proofErr w:type="spellEnd"/>
      <w:r>
        <w:t xml:space="preserve"> Energy, Inc.’s Chairman and Chief Executive Officer (since 2010) and President (since 2011). Mr. Muller previously served as Chairman, President and Chief Executive Officer of Mirant Corporation from 2005 to 2010 when Mirant Corporation merged with RRI Energy, Inc. to form </w:t>
      </w:r>
      <w:proofErr w:type="spellStart"/>
      <w:r>
        <w:t>GenOn</w:t>
      </w:r>
      <w:proofErr w:type="spellEnd"/>
      <w:r>
        <w:t xml:space="preserve"> Energy, Inc. Mr. Muller was a private investor from 2000 until 2005. </w:t>
      </w:r>
    </w:p>
    <w:p w:rsidR="00617999" w:rsidRDefault="00617999" w:rsidP="00617999"/>
    <w:p w:rsidR="00617999" w:rsidRDefault="00617999" w:rsidP="00617999">
      <w:r>
        <w:t xml:space="preserve">Mr. Muller served as President and Chief Executive Officer of Edison Mission Energy, a wholly owned subsidiary of Edison International, from 1993 until 2000. During his tenure, Edison Mission Energy was engaged in developing, owning and operating independent power production facilities worldwide. Within the past ten years, Mr. Muller was also a director of The Keith Companies, Inc., </w:t>
      </w:r>
      <w:proofErr w:type="spellStart"/>
      <w:r>
        <w:t>RigNet</w:t>
      </w:r>
      <w:proofErr w:type="spellEnd"/>
      <w:r>
        <w:t xml:space="preserve">, Inc. and </w:t>
      </w:r>
      <w:proofErr w:type="spellStart"/>
      <w:r>
        <w:t>Ormat</w:t>
      </w:r>
      <w:proofErr w:type="spellEnd"/>
      <w:r>
        <w:t xml:space="preserve"> Technologies, Inc. Mr. Muller received his Bachelor of Arts degree in 1973 from Dartmouth College and his law degree in 1976 from Yale Law School. Since 2004, Mr. Muller has been a trustee of the Riverview School and, from 2008 to 2012, its Chairman.</w:t>
      </w:r>
    </w:p>
    <w:p w:rsidR="005136A2" w:rsidRDefault="005136A2"/>
    <w:sectPr w:rsidR="00513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999"/>
    <w:rsid w:val="005136A2"/>
    <w:rsid w:val="00617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9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9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Cantwell, Guy (Houston)</dc:creator>
  <cp:lastModifiedBy>Cantwell, Guy (Houston)</cp:lastModifiedBy>
  <cp:revision>1</cp:revision>
  <dcterms:created xsi:type="dcterms:W3CDTF">2013-07-09T18:25:00Z</dcterms:created>
  <dcterms:modified xsi:type="dcterms:W3CDTF">2013-07-09T18:26:00Z</dcterms:modified>
</cp:coreProperties>
</file>